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87" w:rsidRDefault="003B0467">
      <w:pPr>
        <w:spacing w:after="2" w:line="259" w:lineRule="auto"/>
        <w:ind w:left="1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7275" cy="1057275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rPr>
          <w:b/>
          <w:color w:val="E36C0A"/>
          <w:sz w:val="32"/>
        </w:rPr>
        <w:t xml:space="preserve"> </w:t>
      </w:r>
    </w:p>
    <w:p w:rsidR="00A41487" w:rsidRDefault="003B0467">
      <w:pPr>
        <w:spacing w:line="254" w:lineRule="auto"/>
        <w:ind w:left="0" w:right="0" w:firstLine="0"/>
        <w:jc w:val="left"/>
      </w:pPr>
      <w:r>
        <w:rPr>
          <w:color w:val="000000"/>
        </w:rPr>
        <w:t xml:space="preserve">La hepatitis C se puede erradicar en España siempre que se empleen los cinco tipos de recursos y herramientas necesarios para lograrlo, según la </w:t>
      </w:r>
      <w:r>
        <w:t xml:space="preserve">Guía de Práctica Clínica, titulada </w:t>
      </w:r>
      <w:r>
        <w:rPr>
          <w:i/>
        </w:rPr>
        <w:t>Eliminación de la hepatitis C. Documento de posicionamiento de la Asociación</w:t>
      </w:r>
      <w:r>
        <w:rPr>
          <w:i/>
        </w:rPr>
        <w:t xml:space="preserve"> Española para el Estudio del Hígado</w:t>
      </w:r>
      <w:r>
        <w:t xml:space="preserve"> (AEEH).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1487" w:rsidRDefault="003B0467">
      <w:pPr>
        <w:spacing w:after="161" w:line="259" w:lineRule="auto"/>
        <w:ind w:left="51" w:right="0" w:firstLine="0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1487" w:rsidRDefault="003B0467">
      <w:pPr>
        <w:spacing w:line="240" w:lineRule="auto"/>
        <w:ind w:left="0" w:right="0" w:firstLine="0"/>
        <w:jc w:val="center"/>
      </w:pPr>
      <w:r>
        <w:rPr>
          <w:b/>
          <w:color w:val="E36C0A"/>
          <w:sz w:val="40"/>
        </w:rPr>
        <w:t xml:space="preserve">La AEEH considera que ha llegado el momento de efectuar un plan global para facilitar la eliminación de la hepatitis C en España </w:t>
      </w:r>
    </w:p>
    <w:p w:rsidR="00A41487" w:rsidRDefault="003B0467">
      <w:pPr>
        <w:spacing w:after="29" w:line="259" w:lineRule="auto"/>
        <w:ind w:left="0" w:right="0" w:firstLine="0"/>
        <w:jc w:val="left"/>
      </w:pPr>
      <w:r>
        <w:rPr>
          <w:b/>
          <w:color w:val="E36C0A"/>
          <w:sz w:val="24"/>
        </w:rPr>
        <w:t xml:space="preserve"> </w:t>
      </w:r>
    </w:p>
    <w:p w:rsidR="00A41487" w:rsidRDefault="003B0467">
      <w:pPr>
        <w:numPr>
          <w:ilvl w:val="0"/>
          <w:numId w:val="1"/>
        </w:numPr>
        <w:spacing w:after="5" w:line="250" w:lineRule="auto"/>
        <w:ind w:right="0" w:hanging="360"/>
        <w:jc w:val="left"/>
      </w:pPr>
      <w:r>
        <w:rPr>
          <w:color w:val="000000"/>
          <w:sz w:val="24"/>
        </w:rPr>
        <w:t xml:space="preserve">Con </w:t>
      </w:r>
      <w:r>
        <w:rPr>
          <w:color w:val="111111"/>
          <w:sz w:val="24"/>
        </w:rPr>
        <w:t>medidas para el cribado del VHC, simplificar su diagnóstico, así como su</w:t>
      </w:r>
      <w:r>
        <w:rPr>
          <w:color w:val="111111"/>
          <w:sz w:val="24"/>
        </w:rPr>
        <w:t xml:space="preserve"> tratamiento, </w:t>
      </w:r>
    </w:p>
    <w:p w:rsidR="00A41487" w:rsidRDefault="003B0467">
      <w:pPr>
        <w:spacing w:after="5" w:line="250" w:lineRule="auto"/>
        <w:ind w:left="730" w:right="0"/>
        <w:jc w:val="left"/>
      </w:pPr>
      <w:r>
        <w:rPr>
          <w:color w:val="111111"/>
          <w:sz w:val="24"/>
        </w:rPr>
        <w:t>y mejorar circuitos asistenciales, de política sanitaria, e indicadores.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41487" w:rsidRDefault="003B0467">
      <w:pPr>
        <w:spacing w:after="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41487" w:rsidRDefault="003B0467">
      <w:pPr>
        <w:numPr>
          <w:ilvl w:val="0"/>
          <w:numId w:val="1"/>
        </w:numPr>
        <w:spacing w:after="5" w:line="250" w:lineRule="auto"/>
        <w:ind w:right="0" w:hanging="360"/>
        <w:jc w:val="left"/>
      </w:pPr>
      <w:r>
        <w:rPr>
          <w:color w:val="111111"/>
          <w:sz w:val="24"/>
        </w:rPr>
        <w:t>Es un plan global, multidisciplinar e inclusivo, basado en la equidad, la mejor evidencia científica, universal y ejecutable por parte de las Administraciones sanitarias.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41487" w:rsidRDefault="003B0467">
      <w:pPr>
        <w:spacing w:after="29" w:line="259" w:lineRule="auto"/>
        <w:ind w:left="720" w:right="0" w:firstLine="0"/>
        <w:jc w:val="left"/>
      </w:pPr>
      <w:r>
        <w:rPr>
          <w:color w:val="111111"/>
          <w:sz w:val="24"/>
        </w:rPr>
        <w:t xml:space="preserve"> </w:t>
      </w:r>
    </w:p>
    <w:p w:rsidR="00A41487" w:rsidRDefault="003B0467">
      <w:pPr>
        <w:numPr>
          <w:ilvl w:val="0"/>
          <w:numId w:val="1"/>
        </w:numPr>
        <w:spacing w:after="5" w:line="250" w:lineRule="auto"/>
        <w:ind w:right="0" w:hanging="360"/>
        <w:jc w:val="left"/>
      </w:pPr>
      <w:r>
        <w:rPr>
          <w:color w:val="111111"/>
          <w:sz w:val="24"/>
        </w:rPr>
        <w:t xml:space="preserve">La aparición de los antivirales orales que permiten curar al 97% de los pacientes </w:t>
      </w:r>
      <w:r>
        <w:rPr>
          <w:color w:val="111111"/>
          <w:sz w:val="24"/>
        </w:rPr>
        <w:t xml:space="preserve">afectados han convertido la eliminación del VHC en una posibilidad real. </w:t>
      </w:r>
    </w:p>
    <w:p w:rsidR="00A41487" w:rsidRDefault="003B0467">
      <w:pPr>
        <w:spacing w:after="29" w:line="259" w:lineRule="auto"/>
        <w:ind w:left="720" w:right="0" w:firstLine="0"/>
        <w:jc w:val="left"/>
      </w:pPr>
      <w:r>
        <w:rPr>
          <w:color w:val="111111"/>
          <w:sz w:val="24"/>
        </w:rPr>
        <w:t xml:space="preserve"> </w:t>
      </w:r>
    </w:p>
    <w:p w:rsidR="00A41487" w:rsidRDefault="003B0467">
      <w:pPr>
        <w:numPr>
          <w:ilvl w:val="0"/>
          <w:numId w:val="1"/>
        </w:numPr>
        <w:spacing w:after="5" w:line="250" w:lineRule="auto"/>
        <w:ind w:right="0" w:hanging="360"/>
        <w:jc w:val="left"/>
      </w:pPr>
      <w:r>
        <w:rPr>
          <w:color w:val="111111"/>
          <w:sz w:val="24"/>
        </w:rPr>
        <w:t xml:space="preserve">Todavía hay más de 76.500 personas en España afectadas con el VHC y se estima que unas </w:t>
      </w:r>
    </w:p>
    <w:p w:rsidR="00A41487" w:rsidRDefault="003B0467">
      <w:pPr>
        <w:spacing w:after="5" w:line="250" w:lineRule="auto"/>
        <w:ind w:left="730" w:right="0"/>
        <w:jc w:val="left"/>
      </w:pPr>
      <w:r>
        <w:rPr>
          <w:color w:val="111111"/>
          <w:sz w:val="24"/>
        </w:rPr>
        <w:t xml:space="preserve">22.500 aún no han sido diagnosticadas. </w:t>
      </w:r>
    </w:p>
    <w:p w:rsidR="00A41487" w:rsidRDefault="003B0467">
      <w:pPr>
        <w:spacing w:after="25" w:line="259" w:lineRule="auto"/>
        <w:ind w:left="0" w:right="0" w:firstLine="0"/>
        <w:jc w:val="left"/>
      </w:pPr>
      <w:r>
        <w:rPr>
          <w:color w:val="111111"/>
          <w:sz w:val="24"/>
        </w:rPr>
        <w:t xml:space="preserve"> </w:t>
      </w:r>
    </w:p>
    <w:p w:rsidR="00A41487" w:rsidRDefault="003B0467">
      <w:pPr>
        <w:numPr>
          <w:ilvl w:val="0"/>
          <w:numId w:val="1"/>
        </w:numPr>
        <w:spacing w:after="5" w:line="250" w:lineRule="auto"/>
        <w:ind w:right="0" w:hanging="360"/>
        <w:jc w:val="left"/>
      </w:pPr>
      <w:r>
        <w:rPr>
          <w:color w:val="111111"/>
          <w:sz w:val="24"/>
        </w:rPr>
        <w:t>La hepatitis C no tratada puede llevar al desarrol</w:t>
      </w:r>
      <w:r>
        <w:rPr>
          <w:color w:val="111111"/>
          <w:sz w:val="24"/>
        </w:rPr>
        <w:t xml:space="preserve">lo de cirrosis hepática, cáncer de hígado y aún es la responsable del 20% de los trasplantes hepáticos en España. </w:t>
      </w:r>
    </w:p>
    <w:p w:rsidR="00A41487" w:rsidRDefault="003B0467">
      <w:pPr>
        <w:spacing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:rsidR="00A41487" w:rsidRDefault="003B0467">
      <w:pPr>
        <w:ind w:left="-5" w:right="-1"/>
      </w:pPr>
      <w:r>
        <w:rPr>
          <w:b/>
          <w:color w:val="000000"/>
        </w:rPr>
        <w:t>23 de octubre de 2019.</w:t>
      </w:r>
      <w:r>
        <w:rPr>
          <w:b/>
        </w:rPr>
        <w:t xml:space="preserve">– </w:t>
      </w:r>
      <w:r>
        <w:rPr>
          <w:b/>
          <w:color w:val="E36C0A"/>
        </w:rPr>
        <w:t>La erradicación de la hepatitis C en España es posible</w:t>
      </w:r>
      <w:r>
        <w:t xml:space="preserve"> </w:t>
      </w:r>
      <w:r>
        <w:t xml:space="preserve">siempre y cuando se empleen todos los recursos y herramientas necesarios para lograrlo. Este objetivo implica poner en práctica un amplio número de recomendaciones, agrupables en cinco grandes categorías: </w:t>
      </w:r>
      <w:r>
        <w:rPr>
          <w:color w:val="000000"/>
        </w:rPr>
        <w:t xml:space="preserve">1) </w:t>
      </w:r>
      <w:r>
        <w:rPr>
          <w:b/>
          <w:color w:val="E36C0A"/>
        </w:rPr>
        <w:t>cribado del VHC en función de la edad</w:t>
      </w:r>
      <w:r>
        <w:rPr>
          <w:color w:val="000000"/>
        </w:rPr>
        <w:t>, de la exi</w:t>
      </w:r>
      <w:r>
        <w:rPr>
          <w:color w:val="000000"/>
        </w:rPr>
        <w:t xml:space="preserve">stencia de </w:t>
      </w:r>
      <w:r>
        <w:rPr>
          <w:b/>
          <w:color w:val="E36C0A"/>
        </w:rPr>
        <w:t>factores de riesgo clásicos de adquisición de la infección</w:t>
      </w:r>
      <w:r>
        <w:rPr>
          <w:color w:val="000000"/>
        </w:rPr>
        <w:t xml:space="preserve">, </w:t>
      </w:r>
      <w:r>
        <w:rPr>
          <w:b/>
          <w:color w:val="E36C0A"/>
        </w:rPr>
        <w:t>búsqueda activa de pacientes</w:t>
      </w:r>
      <w:r>
        <w:rPr>
          <w:color w:val="000000"/>
        </w:rPr>
        <w:t xml:space="preserve"> diagnosticados con anterioridad y desarrollo de estrategias de microeliminación en poblaciones vulnerables; 2) </w:t>
      </w:r>
      <w:r>
        <w:rPr>
          <w:b/>
          <w:color w:val="E36C0A"/>
        </w:rPr>
        <w:t>simplificación del diagnóstico del VHC</w:t>
      </w:r>
      <w:r>
        <w:rPr>
          <w:color w:val="000000"/>
        </w:rPr>
        <w:t xml:space="preserve"> (diagn</w:t>
      </w:r>
      <w:r>
        <w:rPr>
          <w:color w:val="000000"/>
        </w:rPr>
        <w:t xml:space="preserve">óstico en un solo paso y diagnóstico en el punto de atención del paciente); 3) </w:t>
      </w:r>
      <w:r>
        <w:rPr>
          <w:b/>
          <w:color w:val="E36C0A"/>
        </w:rPr>
        <w:t>simplificación del tratamiento</w:t>
      </w:r>
      <w:r>
        <w:rPr>
          <w:color w:val="000000"/>
        </w:rPr>
        <w:t xml:space="preserve"> de los pacientes y mejora de los circuitos asistenciales; 4) </w:t>
      </w:r>
      <w:r>
        <w:rPr>
          <w:b/>
          <w:color w:val="E36C0A"/>
        </w:rPr>
        <w:t>medidas de política sanitaria</w:t>
      </w:r>
      <w:r>
        <w:rPr>
          <w:color w:val="000000"/>
        </w:rPr>
        <w:t xml:space="preserve">, y, finalmente, 5) </w:t>
      </w:r>
      <w:r>
        <w:rPr>
          <w:b/>
          <w:color w:val="E36C0A"/>
        </w:rPr>
        <w:t>establecimiento de indicadores de el</w:t>
      </w:r>
      <w:r>
        <w:rPr>
          <w:b/>
          <w:color w:val="E36C0A"/>
        </w:rPr>
        <w:t>iminación del VHC</w:t>
      </w:r>
      <w:r>
        <w:rPr>
          <w:color w:val="000000"/>
        </w:rPr>
        <w:t>.</w:t>
      </w:r>
      <w:r>
        <w:t xml:space="preserve">Esta es la conclusión de la Guía de Práctica Clínica, titulada </w:t>
      </w:r>
      <w:r>
        <w:rPr>
          <w:i/>
        </w:rPr>
        <w:t>Eliminación de la hepatitis C. Documento de posicionamiento de la Asociación Española para el Estudio del Hígado</w:t>
      </w:r>
      <w:r>
        <w:t xml:space="preserve"> (AEEH), en cuya elaboración han participado casi 30 especialis</w:t>
      </w:r>
      <w:r>
        <w:t xml:space="preserve">tas. </w:t>
      </w:r>
      <w:r>
        <w:rPr>
          <w:color w:val="000000"/>
        </w:rP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rPr>
          <w:b/>
          <w:color w:val="E36C0A"/>
        </w:rPr>
        <w:t>España es uno de los países que más ha avanzado para conseguir los objetivos marcados por la estrategia global establecida por la Organización Mundial de la Salud (OMS)</w:t>
      </w:r>
      <w:r>
        <w:t xml:space="preserve"> para acabar con las hepatitis virales como problema de salud pública en el año 2030. En</w:t>
      </w:r>
      <w:r>
        <w:t xml:space="preserve"> abril de 2015, puso en marcha el Plan Estratégico </w:t>
      </w:r>
      <w:r>
        <w:lastRenderedPageBreak/>
        <w:t>Nacional para el Abordaje de la Hepatitis C (PEAHC) en el Sistema Nacional de Salud (SNS) y, hasta mayo de 2019, se han tratado con agentes antivirales directos (ADD) más de 130.000 pacientes, aunque habrí</w:t>
      </w:r>
      <w:r>
        <w:t xml:space="preserve">a 150.000 curados si se añade a los tratados con interferón  en los últimos 20 años, informa la AEEH.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spacing w:after="5" w:line="249" w:lineRule="auto"/>
        <w:ind w:left="-5" w:right="0"/>
      </w:pPr>
      <w:r>
        <w:t>Sin embargo, “</w:t>
      </w:r>
      <w:r>
        <w:rPr>
          <w:b/>
          <w:color w:val="E36C0A"/>
        </w:rPr>
        <w:t>en el ámbito de atención primaria aún acuden 76.500 personas virémicas, esto es, con el VHC. Además, la tasa de diagnóstico no es satisfa</w:t>
      </w:r>
      <w:r>
        <w:rPr>
          <w:b/>
          <w:color w:val="E36C0A"/>
        </w:rPr>
        <w:t xml:space="preserve">ctoria, puesto que estimamos que aún hay 22.500 personas adultas con este virus que desconocen que son portadoras </w:t>
      </w:r>
      <w:r>
        <w:t>y que, por lo tanto, pueden transmitir la infección, a las que hay que sumar todos los pacientes diagnosticados que no están siendo tratados”,</w:t>
      </w:r>
      <w:r>
        <w:t xml:space="preserve"> advierte el </w:t>
      </w:r>
      <w:r>
        <w:rPr>
          <w:color w:val="000000"/>
        </w:rPr>
        <w:t>Dr. Javier Crespo, coordinador del Consenso y Presidente de la Sociedad Española Patología Digestiva (SEPD).</w:t>
      </w:r>
      <w: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rPr>
          <w:b/>
          <w:color w:val="E36C0A"/>
        </w:rPr>
        <w:t xml:space="preserve"> </w:t>
      </w:r>
    </w:p>
    <w:p w:rsidR="00A41487" w:rsidRDefault="003B0467">
      <w:pPr>
        <w:spacing w:after="1"/>
        <w:ind w:left="0" w:right="4" w:firstLine="0"/>
      </w:pPr>
      <w:r>
        <w:t xml:space="preserve">Recientes estudios cifran la tasa actual de </w:t>
      </w:r>
      <w:r>
        <w:rPr>
          <w:color w:val="111111"/>
        </w:rPr>
        <w:t>seroprevalencia del VHC en España entre el 0,8 y el 1,2% en la población adulta, mientr</w:t>
      </w:r>
      <w:r>
        <w:rPr>
          <w:color w:val="111111"/>
        </w:rPr>
        <w:t xml:space="preserve">as que entre el 0,2% y el 0,4% tienen una infección activa por VHC sin saberlo </w:t>
      </w:r>
      <w:r>
        <w:t>y, por lo tanto, están en riesgo de desarrollar a medio-largo plazo una cirrosis hepática y sus complicaciones asociadas como el cáncer de hígado o la necesidad de un trasplante</w:t>
      </w:r>
      <w:r>
        <w:t xml:space="preserve"> hepático. Actualmente, se calcula que el VHC sigue siendo la causa del 20% de los trasplantes de hígado. </w:t>
      </w:r>
      <w:r>
        <w:rPr>
          <w:color w:val="111111"/>
        </w:rPr>
        <w:t>Por otra parte, la aparición de los antivirales orales que permiten curar al 97% de los pacientes afectados convierte la eliminación del VHC en una po</w:t>
      </w:r>
      <w:r>
        <w:rPr>
          <w:color w:val="111111"/>
        </w:rPr>
        <w:t>sibilidad real.</w:t>
      </w:r>
      <w: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t xml:space="preserve">En este contexto, </w:t>
      </w:r>
      <w:r>
        <w:rPr>
          <w:b/>
          <w:color w:val="E36C0A"/>
        </w:rPr>
        <w:t>la AEEH considera que ha llegado el momento de efectuar un plan global para facilitar la eliminación de la hepatitis C como problema de salud pública en España</w:t>
      </w:r>
      <w:r>
        <w:t>. “Este plan pretende ser un marco en el que tengan cabida t</w:t>
      </w:r>
      <w:r>
        <w:t>odas las iniciativas y herramientas potencialmente útiles para conseguir dicha eliminación. Se fundamenta en principios como la multidisciplinariedad, asegurada gracias a la participación de un amplio grupo de profesionales; la equidad en todas las medidas</w:t>
      </w:r>
      <w:r>
        <w:t xml:space="preserve"> propuestas; la inclusividad, al incorporar medidas locales, regionales, nacionales e internacionales de eficacia frente al VHC, así como todos los elementos de la cadena asistencial; la universalidad, ya que se ha buscado que este plan sea universal y eje</w:t>
      </w:r>
      <w:r>
        <w:t xml:space="preserve">cutable por parte de todas las administraciones sanitarias; y, sobre todo, la mejor evidencia científica disponible”, ha destacado el </w:t>
      </w:r>
      <w:r>
        <w:rPr>
          <w:color w:val="000000"/>
        </w:rPr>
        <w:t>Dr. José Luis Calleja, vicepresidente de la AEEH.</w:t>
      </w:r>
      <w: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rPr>
          <w:b/>
          <w:color w:val="E36C0A"/>
        </w:rPr>
        <w:t xml:space="preserve"> </w:t>
      </w:r>
    </w:p>
    <w:p w:rsidR="00A41487" w:rsidRDefault="003B0467">
      <w:pPr>
        <w:spacing w:after="5" w:line="249" w:lineRule="auto"/>
        <w:ind w:left="-5" w:right="0"/>
      </w:pPr>
      <w:r>
        <w:rPr>
          <w:b/>
          <w:color w:val="E36C0A"/>
        </w:rPr>
        <w:t xml:space="preserve">Principales recomendaciones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t>El documento de posicionamiento consen</w:t>
      </w:r>
      <w:r>
        <w:t xml:space="preserve">suado por los expertos dice con rotundidad que para conseguir la eliminación de la hepatitis C en España “es imprescindible la puesta en marcha de las siguientes recomendaciones”: 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rPr>
          <w:b/>
          <w:color w:val="E36C0A"/>
        </w:rPr>
        <w:t>En el cribado del VHC, se recomienda incluir la edad como factor de ries</w:t>
      </w:r>
      <w:r>
        <w:rPr>
          <w:b/>
          <w:color w:val="E36C0A"/>
        </w:rPr>
        <w:t xml:space="preserve">go para la infección por VHC, </w:t>
      </w:r>
      <w:r>
        <w:t>además de factores de riesgo clásicos de la infección, la búsqueda activa de pacientes diagnosticados con anterioridad tanto en atención primaria como en los hospitales y el desarrollo de estrategias de microeliminación en pob</w:t>
      </w:r>
      <w:r>
        <w:t xml:space="preserve">laciones vulnerables, a las que también hay que buscar activamente en todos los dispositivos asistenciales a los que acuden. Los estudios de coste-efectividad del cribado recomiendan efectuarlo entre los 20 y los 79 años, pero </w:t>
      </w:r>
      <w:r>
        <w:rPr>
          <w:b/>
          <w:color w:val="E36C0A"/>
        </w:rPr>
        <w:t>como la mayoría de casos se d</w:t>
      </w:r>
      <w:r>
        <w:rPr>
          <w:b/>
          <w:color w:val="E36C0A"/>
        </w:rPr>
        <w:t>iagnostican entre los 40 y los 70 años, la AEEH recomienda la determinación de anticuerpos frente al VHC al menos una vez en la vida en este segmento de edad</w:t>
      </w:r>
      <w:r>
        <w:t>. Cabe señalar que otras sociedades científicas como la Sociedad Española de Patología Digestiva (S</w:t>
      </w:r>
      <w:r>
        <w:t xml:space="preserve">EPD) y la Alianza para la Eliminación de las Hepatitis Víricas en España (AEHVE) también abogan por la realización de planes para establecer estrategias de cribado. 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rPr>
          <w:b/>
          <w:color w:val="E36C0A"/>
        </w:rPr>
        <w:t xml:space="preserve">La simplificación del diagnóstico del VHC mediante el diagnóstico en un solo paso y en </w:t>
      </w:r>
      <w:r>
        <w:rPr>
          <w:b/>
          <w:color w:val="E36C0A"/>
        </w:rPr>
        <w:t xml:space="preserve">el punto de atención al paciente. </w:t>
      </w:r>
      <w:r>
        <w:t>Este diagnóstico de un solo paso debe realizarse en todos los laboratorios de microbiología y/o análisis del SNS y, para poder efectuar el diagnóstico en el punto de atención al paciente, hay que adaptar las técnicas de di</w:t>
      </w:r>
      <w:r>
        <w:t>agnóstico a la población diana, incluyendo medios de diagnóstico y tratamiento para los colectivos vulnerables en riesgo de exclusión social y que no suele contactar con los dispositivos asistenciales, ni con la atención primaria ni con la hospitalaria. En</w:t>
      </w:r>
      <w:r>
        <w:t xml:space="preserve">tre estas, se requiere usar la viremia en el punto de atención. Asimismo, </w:t>
      </w:r>
      <w:r>
        <w:rPr>
          <w:b/>
          <w:color w:val="E36C0A"/>
        </w:rPr>
        <w:t xml:space="preserve">se debe vincular el diagnóstico al tratamiento, mediante un acceso equitativo y universal tanto al cribado como a un tratamiento antiviral curativo de la hepatitis C.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rPr>
          <w:b/>
          <w:color w:val="E36C0A"/>
        </w:rPr>
        <w:t>La simplificación del tratamiento de los pacientes y la mejora de los circuitos asistenciales</w:t>
      </w:r>
      <w:r>
        <w:t>. Al respecto, el documento señala que “hay que abordar el tratamiento del paciente de una forma sencilla, que evite que se “escapen” pacientes y esto solo se pued</w:t>
      </w:r>
      <w:r>
        <w:t xml:space="preserve">e conseguir mediante circuitos asistenciales de máxima simplicidad”. Para ello, se puede optar por dos tipos de circuitos asistenciales: por un lado, las </w:t>
      </w:r>
      <w:r>
        <w:rPr>
          <w:b/>
          <w:color w:val="E36C0A"/>
        </w:rPr>
        <w:t>consultas de alta resolución hospitalaria</w:t>
      </w:r>
      <w:r>
        <w:t>, cruciales para pacientes poco adherentes al sistema sanitar</w:t>
      </w:r>
      <w:r>
        <w:t xml:space="preserve">io. En estas consultas, los pacientes son atendidos por un especialista, se les valora su enfermedad hepática (fibrosis) y se les prescribe y dispensa la medicación que necesitan de la forma más rápida y eficiente posible. Y, por otro lado, </w:t>
      </w:r>
      <w:r>
        <w:rPr>
          <w:b/>
          <w:color w:val="E36C0A"/>
        </w:rPr>
        <w:t>el desarrollo d</w:t>
      </w:r>
      <w:r>
        <w:rPr>
          <w:b/>
          <w:color w:val="E36C0A"/>
        </w:rPr>
        <w:t>e dispositivos asistenciales no hospitalarios y en puntos de atención al paciente</w:t>
      </w:r>
      <w:r>
        <w:t>, en especial para poblaciones vulnerables, como personas inmigrantes, que viven alejadas en áreas rurales, enfermos mentales, pacientes afectos de alcoholismo, personas que c</w:t>
      </w:r>
      <w:r>
        <w:t xml:space="preserve">onsumen drogas, residentes en centros penitenciarios de alta rotación, clínicas de atención sexual o centros de reducción de daños. En definitiva, es preciso mejorar la continuidad asistencial en el proceso de abordaje global de pacientes con hepatitis C, </w:t>
      </w:r>
      <w:r>
        <w:t xml:space="preserve">entre otras medidas. 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rPr>
          <w:b/>
          <w:color w:val="E36C0A"/>
        </w:rPr>
        <w:t xml:space="preserve">Aplicar medidas de política sanitaria, consistentes en ampliar las coberturas en centros de reducción de daños </w:t>
      </w:r>
      <w:r>
        <w:t>para personas que consumen drogas por vía parenteral; dispensación delegada cuando ello facilite el acceso al tratamient</w:t>
      </w:r>
      <w:r>
        <w:t>o de los pacientes diagnosticados, realizar una estricta vigilancia epidemiológica que permita diagnosticar las  reinfecciones, cuál está siendo el origen actual de la mayoría de los nuevos casos o casos agudos (incidentes) y de los casos crónicos (prevale</w:t>
      </w:r>
      <w:r>
        <w:t xml:space="preserve">ntes), siguiendo las recomendaciones del Centro Europeo para la Prevención y el Control de las Enfermedades (ECDC); </w:t>
      </w:r>
      <w:r>
        <w:rPr>
          <w:b/>
          <w:color w:val="E36C0A"/>
        </w:rPr>
        <w:t xml:space="preserve">y, sobre todo, implementar medidas de educación sobre la infección de la hepatitis C para elevar el conocimiento de la enfermedad </w:t>
      </w:r>
      <w:r>
        <w:t xml:space="preserve">tanto por </w:t>
      </w:r>
      <w:r>
        <w:t xml:space="preserve">parte de los profesionales de la salud como de la población general, a fin de evitar nuevos contagios. 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ind w:left="-5" w:right="-1"/>
      </w:pPr>
      <w:r>
        <w:rPr>
          <w:b/>
          <w:color w:val="E36C0A"/>
        </w:rPr>
        <w:t>Desarrollar y utilizar indicadores de eliminación del VHC para todo el SNS,</w:t>
      </w:r>
      <w:r>
        <w:t xml:space="preserve"> para poder evaluar los resultados en salud de las diferentes intervencion</w:t>
      </w:r>
      <w:r>
        <w:t>es que se vayan realizando. Estos indicadores deben ser tanto indicadores de participación de la población diana en los programas de macro y microeliminación, entre otros, indicadores de diagnóstico (ratio de diagnóstico en un solo paso y de diagnóstico no</w:t>
      </w:r>
      <w:r>
        <w:t xml:space="preserve"> centralizado), indicadores relacionados con la enfermedad por VHC (morbilidad asociada, ingresos hospitalarios o mortalidad, etc.), e indicadores relacionados con el tratamiento e indicadores que evalúen la tasa de reinfecciones. 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spacing w:after="5" w:line="249" w:lineRule="auto"/>
        <w:ind w:left="-5" w:right="0"/>
      </w:pPr>
      <w:r>
        <w:rPr>
          <w:b/>
          <w:color w:val="E36C0A"/>
        </w:rPr>
        <w:t xml:space="preserve">Sobre la Asociación Española del Estudio del Hígado (AEEH) </w:t>
      </w:r>
    </w:p>
    <w:p w:rsidR="00A41487" w:rsidRDefault="003B0467">
      <w:pPr>
        <w:ind w:left="0" w:right="7" w:firstLine="0"/>
      </w:pPr>
      <w:r>
        <w:rPr>
          <w:color w:val="000000"/>
        </w:rPr>
        <w:t>La AEEH es la Sociedad científica que agrupa a los más de 1000 profesionales en España que trabajan en el campo de las enfermedades del hígado. Esta Sociedad científica lidera estudios sobre hepat</w:t>
      </w:r>
      <w:r>
        <w:rPr>
          <w:color w:val="000000"/>
        </w:rPr>
        <w:t xml:space="preserve">itis c publicados en las revistas internacionales de mayor impacto científico. Los profesionales de la AEEH también ha asumido el liderazgo científico del Plan Nacional de Tratamiento de la Hepatitis C que ha conseguido que sean tratados en España más de  </w:t>
      </w:r>
      <w:r>
        <w:rPr>
          <w:color w:val="000000"/>
        </w:rPr>
        <w:t>130.000 pacientes.</w:t>
      </w:r>
      <w: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p w:rsidR="00A41487" w:rsidRDefault="003B0467">
      <w:pPr>
        <w:spacing w:line="259" w:lineRule="auto"/>
        <w:ind w:left="0" w:right="0" w:firstLine="0"/>
        <w:jc w:val="left"/>
      </w:pPr>
      <w:r>
        <w:t xml:space="preserve"> </w:t>
      </w:r>
    </w:p>
    <w:sectPr w:rsidR="00A41487">
      <w:footerReference w:type="even" r:id="rId8"/>
      <w:footerReference w:type="default" r:id="rId9"/>
      <w:footerReference w:type="first" r:id="rId10"/>
      <w:pgSz w:w="11904" w:h="16838"/>
      <w:pgMar w:top="1134" w:right="1124" w:bottom="1573" w:left="1133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67" w:rsidRDefault="003B0467">
      <w:pPr>
        <w:spacing w:line="240" w:lineRule="auto"/>
      </w:pPr>
      <w:r>
        <w:separator/>
      </w:r>
    </w:p>
  </w:endnote>
  <w:endnote w:type="continuationSeparator" w:id="0">
    <w:p w:rsidR="003B0467" w:rsidRDefault="003B0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87" w:rsidRDefault="003B0467">
    <w:pPr>
      <w:spacing w:line="356" w:lineRule="auto"/>
      <w:ind w:left="0" w:right="497" w:firstLine="0"/>
    </w:pPr>
    <w:r>
      <w:rPr>
        <w:b/>
        <w:color w:val="E36C0A"/>
        <w:sz w:val="20"/>
      </w:rPr>
      <w:t xml:space="preserve">Gabinete de comunicación AEEH, contacto de prensa y gestión de entrevistas:  </w:t>
    </w:r>
    <w:r>
      <w:rPr>
        <w:color w:val="000000"/>
        <w:sz w:val="20"/>
      </w:rPr>
      <w:t xml:space="preserve">Montse Llamas,  636 820 201, montse@alaoeste.com/ Sonia Joaniquet, 663 848 916, sjoaniquet@alaoeste.com </w:t>
    </w:r>
  </w:p>
  <w:p w:rsidR="00A41487" w:rsidRDefault="003B0467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:rsidR="00A41487" w:rsidRDefault="003B0467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87" w:rsidRDefault="003B0467">
    <w:pPr>
      <w:spacing w:line="356" w:lineRule="auto"/>
      <w:ind w:left="0" w:right="497" w:firstLine="0"/>
    </w:pPr>
    <w:r>
      <w:rPr>
        <w:b/>
        <w:color w:val="E36C0A"/>
        <w:sz w:val="20"/>
      </w:rPr>
      <w:t>Gabinete de comunicación AEEH, con</w:t>
    </w:r>
    <w:r>
      <w:rPr>
        <w:b/>
        <w:color w:val="E36C0A"/>
        <w:sz w:val="20"/>
      </w:rPr>
      <w:t xml:space="preserve">tacto de prensa y gestión de entrevistas:  </w:t>
    </w:r>
    <w:r>
      <w:rPr>
        <w:color w:val="000000"/>
        <w:sz w:val="20"/>
      </w:rPr>
      <w:t xml:space="preserve">Montse Llamas,  636 820 201, montse@alaoeste.com/ Sonia Joaniquet, 663 848 916, sjoaniquet@alaoeste.com </w:t>
    </w:r>
  </w:p>
  <w:p w:rsidR="00A41487" w:rsidRDefault="003B0467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:rsidR="00A41487" w:rsidRDefault="003B0467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87" w:rsidRDefault="003B0467">
    <w:pPr>
      <w:spacing w:line="356" w:lineRule="auto"/>
      <w:ind w:left="0" w:right="497" w:firstLine="0"/>
    </w:pPr>
    <w:r>
      <w:rPr>
        <w:b/>
        <w:color w:val="E36C0A"/>
        <w:sz w:val="20"/>
      </w:rPr>
      <w:t xml:space="preserve">Gabinete de comunicación AEEH, contacto de prensa y gestión de entrevistas:  </w:t>
    </w:r>
    <w:r>
      <w:rPr>
        <w:color w:val="000000"/>
        <w:sz w:val="20"/>
      </w:rPr>
      <w:t>Montse Llamas,  636 820 201</w:t>
    </w:r>
    <w:r>
      <w:rPr>
        <w:color w:val="000000"/>
        <w:sz w:val="20"/>
      </w:rPr>
      <w:t xml:space="preserve">, montse@alaoeste.com/ Sonia Joaniquet, 663 848 916, sjoaniquet@alaoeste.com </w:t>
    </w:r>
  </w:p>
  <w:p w:rsidR="00A41487" w:rsidRDefault="003B0467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:rsidR="00A41487" w:rsidRDefault="003B0467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67" w:rsidRDefault="003B0467">
      <w:pPr>
        <w:spacing w:line="240" w:lineRule="auto"/>
      </w:pPr>
      <w:r>
        <w:separator/>
      </w:r>
    </w:p>
  </w:footnote>
  <w:footnote w:type="continuationSeparator" w:id="0">
    <w:p w:rsidR="003B0467" w:rsidRDefault="003B0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7ECE"/>
    <w:multiLevelType w:val="hybridMultilevel"/>
    <w:tmpl w:val="CF8222B2"/>
    <w:lvl w:ilvl="0" w:tplc="85CA20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CDA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44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6AE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49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A0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2B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63F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EA0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87"/>
    <w:rsid w:val="00236A13"/>
    <w:rsid w:val="003B0467"/>
    <w:rsid w:val="00A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F5F3-C322-4207-A2BA-87D856AD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39" w:lineRule="auto"/>
      <w:ind w:left="10" w:right="2" w:hanging="10"/>
      <w:jc w:val="both"/>
    </w:pPr>
    <w:rPr>
      <w:rFonts w:ascii="Corbel" w:eastAsia="Corbel" w:hAnsi="Corbel" w:cs="Corbel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1620</Words>
  <Characters>8914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Llamas</dc:creator>
  <cp:keywords/>
  <cp:lastModifiedBy>Raquel Perez Polo</cp:lastModifiedBy>
  <cp:revision>2</cp:revision>
  <dcterms:created xsi:type="dcterms:W3CDTF">2019-10-23T11:06:00Z</dcterms:created>
  <dcterms:modified xsi:type="dcterms:W3CDTF">2019-10-23T11:06:00Z</dcterms:modified>
</cp:coreProperties>
</file>